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5" w:rsidRPr="006559F7" w:rsidRDefault="006559F7" w:rsidP="006559F7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559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Правила оформления </w:t>
      </w:r>
      <w:r w:rsidR="00314E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статей</w:t>
      </w:r>
    </w:p>
    <w:p w:rsidR="001A4455" w:rsidRPr="00DE08FA" w:rsidRDefault="001A4455" w:rsidP="00DE08FA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Текстовый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редактор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MS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Word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for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Windows</w:t>
      </w:r>
      <w:r w:rsidRPr="004F6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3A3F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Имя файла</w:t>
      </w: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фамилия автора на русском языке.</w:t>
      </w:r>
    </w:p>
    <w:p w:rsidR="00B43968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E7DA2">
        <w:rPr>
          <w:rFonts w:ascii="Times New Roman" w:hAnsi="Times New Roman"/>
          <w:b/>
          <w:sz w:val="26"/>
          <w:szCs w:val="26"/>
        </w:rPr>
        <w:t>Правила оформления текста</w:t>
      </w:r>
    </w:p>
    <w:p w:rsidR="00B43968" w:rsidRDefault="00B43968" w:rsidP="00B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 материалы</w:t>
      </w:r>
      <w:r w:rsidRPr="001D79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статьи</w:t>
      </w:r>
      <w:r w:rsidRPr="001D79E1">
        <w:rPr>
          <w:rFonts w:ascii="Times New Roman" w:hAnsi="Times New Roman"/>
          <w:sz w:val="26"/>
          <w:szCs w:val="26"/>
        </w:rPr>
        <w:t xml:space="preserve"> представляются в объеме от </w:t>
      </w:r>
      <w:r w:rsidR="00057974">
        <w:rPr>
          <w:rFonts w:ascii="Times New Roman" w:hAnsi="Times New Roman"/>
          <w:sz w:val="26"/>
          <w:szCs w:val="26"/>
        </w:rPr>
        <w:t>3</w:t>
      </w:r>
      <w:r w:rsidRPr="001D79E1">
        <w:rPr>
          <w:rFonts w:ascii="Times New Roman" w:hAnsi="Times New Roman"/>
          <w:sz w:val="26"/>
          <w:szCs w:val="26"/>
        </w:rPr>
        <w:t xml:space="preserve"> полных страниц</w:t>
      </w:r>
      <w:r>
        <w:rPr>
          <w:rFonts w:ascii="Times New Roman" w:hAnsi="Times New Roman"/>
          <w:sz w:val="26"/>
          <w:szCs w:val="26"/>
        </w:rPr>
        <w:t xml:space="preserve"> формата А4;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E7DA2">
        <w:rPr>
          <w:rFonts w:ascii="Times New Roman" w:hAnsi="Times New Roman"/>
          <w:sz w:val="26"/>
          <w:szCs w:val="26"/>
        </w:rPr>
        <w:t xml:space="preserve">араметры страницы: поля – левое, правое, верхнее и нижнее 2,2 см; колонтитулы отсутствуют. 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шрифт Times New Roman 1</w:t>
      </w:r>
      <w:r>
        <w:rPr>
          <w:rFonts w:ascii="Times New Roman" w:hAnsi="Times New Roman"/>
          <w:sz w:val="26"/>
          <w:szCs w:val="26"/>
        </w:rPr>
        <w:t>5</w:t>
      </w:r>
      <w:r w:rsidRPr="00DE7DA2">
        <w:rPr>
          <w:rFonts w:ascii="Times New Roman" w:hAnsi="Times New Roman"/>
          <w:sz w:val="26"/>
          <w:szCs w:val="26"/>
        </w:rPr>
        <w:t xml:space="preserve"> pt, выравнивание по ширине, </w:t>
      </w:r>
      <w:r>
        <w:rPr>
          <w:rFonts w:ascii="Times New Roman" w:hAnsi="Times New Roman"/>
          <w:sz w:val="26"/>
          <w:szCs w:val="26"/>
        </w:rPr>
        <w:t>абзацный</w:t>
      </w:r>
      <w:r w:rsidRPr="00DE7DA2">
        <w:rPr>
          <w:rFonts w:ascii="Times New Roman" w:hAnsi="Times New Roman"/>
          <w:sz w:val="26"/>
          <w:szCs w:val="26"/>
        </w:rPr>
        <w:t xml:space="preserve"> отступ 1 см, межстрочный интервал </w:t>
      </w:r>
      <w:r>
        <w:rPr>
          <w:rFonts w:ascii="Times New Roman" w:hAnsi="Times New Roman"/>
          <w:sz w:val="26"/>
          <w:szCs w:val="26"/>
        </w:rPr>
        <w:t>–</w:t>
      </w:r>
      <w:r w:rsidRPr="00DE7DA2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,2</w:t>
      </w:r>
      <w:r w:rsidRPr="00DE7DA2">
        <w:rPr>
          <w:rFonts w:ascii="Times New Roman" w:hAnsi="Times New Roman"/>
          <w:sz w:val="26"/>
          <w:szCs w:val="26"/>
        </w:rPr>
        <w:t>.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 xml:space="preserve">в тексте могут содержаться цветные или черно-белые рисунки. Элементы рисунка, выполненного с помощью </w:t>
      </w:r>
      <w:r w:rsidRPr="00DE7DA2">
        <w:rPr>
          <w:rFonts w:ascii="Times New Roman" w:hAnsi="Times New Roman"/>
          <w:sz w:val="26"/>
          <w:szCs w:val="26"/>
          <w:lang w:val="en-US"/>
        </w:rPr>
        <w:t>Word</w:t>
      </w:r>
      <w:r w:rsidRPr="00DE7DA2">
        <w:rPr>
          <w:rFonts w:ascii="Times New Roman" w:hAnsi="Times New Roman"/>
          <w:sz w:val="26"/>
          <w:szCs w:val="26"/>
        </w:rPr>
        <w:t xml:space="preserve"> «Вставка-Фигуры», должны быть сгруппированы. Если в тексте используются рисунки  точечных форматов (*.bmp, *.jpeg) они должны иметь разрешение не менее </w:t>
      </w:r>
      <w:r>
        <w:rPr>
          <w:rFonts w:ascii="Times New Roman" w:hAnsi="Times New Roman"/>
          <w:sz w:val="26"/>
          <w:szCs w:val="26"/>
        </w:rPr>
        <w:t>6</w:t>
      </w:r>
      <w:r w:rsidRPr="00DE7DA2">
        <w:rPr>
          <w:rFonts w:ascii="Times New Roman" w:hAnsi="Times New Roman"/>
          <w:sz w:val="26"/>
          <w:szCs w:val="26"/>
        </w:rPr>
        <w:t>00</w:t>
      </w:r>
      <w:r w:rsidRPr="00DE7DA2">
        <w:rPr>
          <w:rFonts w:ascii="Times New Roman" w:hAnsi="Times New Roman"/>
          <w:sz w:val="26"/>
          <w:szCs w:val="26"/>
          <w:lang w:val="en-US"/>
        </w:rPr>
        <w:t>dpi</w:t>
      </w:r>
      <w:r w:rsidRPr="00DE7DA2">
        <w:rPr>
          <w:rFonts w:ascii="Times New Roman" w:hAnsi="Times New Roman"/>
          <w:sz w:val="26"/>
          <w:szCs w:val="26"/>
        </w:rPr>
        <w:t>. Рисунки подписываются следующим образом &lt;</w:t>
      </w:r>
      <w:r w:rsidRPr="00907143">
        <w:rPr>
          <w:rFonts w:ascii="Times New Roman" w:hAnsi="Times New Roman"/>
          <w:sz w:val="26"/>
          <w:szCs w:val="26"/>
        </w:rPr>
        <w:t xml:space="preserve">Рисунок 1 </w:t>
      </w:r>
      <w:r w:rsidRPr="00DE7DA2">
        <w:rPr>
          <w:rFonts w:ascii="Times New Roman" w:hAnsi="Times New Roman"/>
          <w:b/>
          <w:sz w:val="26"/>
          <w:szCs w:val="26"/>
        </w:rPr>
        <w:t>-</w:t>
      </w:r>
      <w:r w:rsidRPr="00DE7DA2">
        <w:rPr>
          <w:rFonts w:ascii="Times New Roman" w:hAnsi="Times New Roman"/>
          <w:sz w:val="26"/>
          <w:szCs w:val="26"/>
        </w:rPr>
        <w:t xml:space="preserve"> Название рисунка &gt;, подпись размещается снизу, по центру рисунка. В тесте должна быть ссылка на рисунок в виде «рис</w:t>
      </w:r>
      <w:r>
        <w:rPr>
          <w:rFonts w:ascii="Times New Roman" w:hAnsi="Times New Roman"/>
          <w:sz w:val="26"/>
          <w:szCs w:val="26"/>
        </w:rPr>
        <w:t>унок</w:t>
      </w:r>
      <w:r w:rsidRPr="00DE7DA2">
        <w:rPr>
          <w:rFonts w:ascii="Times New Roman" w:hAnsi="Times New Roman"/>
          <w:sz w:val="26"/>
          <w:szCs w:val="26"/>
        </w:rPr>
        <w:t xml:space="preserve"> 1».</w:t>
      </w:r>
      <w:r>
        <w:rPr>
          <w:rFonts w:ascii="Times New Roman" w:hAnsi="Times New Roman"/>
          <w:sz w:val="26"/>
          <w:szCs w:val="26"/>
        </w:rPr>
        <w:t xml:space="preserve"> Если рисунок один, то номер в обозначении не ставится;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в тексте могут содержаться таблицы. Таблицы подписываются следующим образом &lt;</w:t>
      </w:r>
      <w:r w:rsidRPr="00907143">
        <w:rPr>
          <w:rFonts w:ascii="Times New Roman" w:hAnsi="Times New Roman"/>
          <w:sz w:val="26"/>
          <w:szCs w:val="26"/>
        </w:rPr>
        <w:t>Таблица 1</w:t>
      </w:r>
      <w:r w:rsidRPr="00DE7DA2">
        <w:rPr>
          <w:rFonts w:ascii="Times New Roman" w:hAnsi="Times New Roman"/>
          <w:b/>
          <w:sz w:val="26"/>
          <w:szCs w:val="26"/>
        </w:rPr>
        <w:t xml:space="preserve"> -</w:t>
      </w:r>
      <w:r w:rsidRPr="00DE7DA2">
        <w:rPr>
          <w:rFonts w:ascii="Times New Roman" w:hAnsi="Times New Roman"/>
          <w:sz w:val="26"/>
          <w:szCs w:val="26"/>
        </w:rPr>
        <w:t xml:space="preserve"> Название таблицы &gt;, подпись размещается сверху таблицы, выравнивание по </w:t>
      </w:r>
      <w:r>
        <w:rPr>
          <w:rFonts w:ascii="Times New Roman" w:hAnsi="Times New Roman"/>
          <w:sz w:val="26"/>
          <w:szCs w:val="26"/>
        </w:rPr>
        <w:t>центру</w:t>
      </w:r>
      <w:r w:rsidRPr="00DE7DA2">
        <w:rPr>
          <w:rFonts w:ascii="Times New Roman" w:hAnsi="Times New Roman"/>
          <w:sz w:val="26"/>
          <w:szCs w:val="26"/>
        </w:rPr>
        <w:t>. В тексте должна быть ссылка на таблицу в виде «табл</w:t>
      </w:r>
      <w:r>
        <w:rPr>
          <w:rFonts w:ascii="Times New Roman" w:hAnsi="Times New Roman"/>
          <w:sz w:val="26"/>
          <w:szCs w:val="26"/>
        </w:rPr>
        <w:t>ица</w:t>
      </w:r>
      <w:r w:rsidRPr="00DE7DA2">
        <w:rPr>
          <w:rFonts w:ascii="Times New Roman" w:hAnsi="Times New Roman"/>
          <w:sz w:val="26"/>
          <w:szCs w:val="26"/>
        </w:rPr>
        <w:t xml:space="preserve"> 1»</w:t>
      </w:r>
      <w:r>
        <w:rPr>
          <w:rFonts w:ascii="Times New Roman" w:hAnsi="Times New Roman"/>
          <w:sz w:val="26"/>
          <w:szCs w:val="26"/>
        </w:rPr>
        <w:t>.</w:t>
      </w:r>
      <w:r w:rsidRPr="002C36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 таблица одна, то номер в обозначении не ставится;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 xml:space="preserve">формулы подготавливаются в встроенном редакторе формул Microsoft Word или в редакторе MathType. Все впервые встречающиеся в формуле обозначения должны быть расшифрованы сразу после формулы. Нумеруются </w:t>
      </w:r>
      <w:r>
        <w:rPr>
          <w:rFonts w:ascii="Times New Roman" w:hAnsi="Times New Roman"/>
          <w:sz w:val="26"/>
          <w:szCs w:val="26"/>
        </w:rPr>
        <w:t>только те</w:t>
      </w:r>
      <w:r w:rsidRPr="00DE7DA2">
        <w:rPr>
          <w:rFonts w:ascii="Times New Roman" w:hAnsi="Times New Roman"/>
          <w:sz w:val="26"/>
          <w:szCs w:val="26"/>
        </w:rPr>
        <w:t xml:space="preserve"> формулы</w:t>
      </w:r>
      <w:r>
        <w:rPr>
          <w:rFonts w:ascii="Times New Roman" w:hAnsi="Times New Roman"/>
          <w:sz w:val="26"/>
          <w:szCs w:val="26"/>
        </w:rPr>
        <w:t>, на которые делаются ссылки в тексте</w:t>
      </w:r>
      <w:r w:rsidRPr="00DE7DA2">
        <w:rPr>
          <w:rFonts w:ascii="Times New Roman" w:hAnsi="Times New Roman"/>
          <w:sz w:val="26"/>
          <w:szCs w:val="26"/>
        </w:rPr>
        <w:t>. При нумерации формул использование букв и других символов не допускается. Вы</w:t>
      </w:r>
      <w:r>
        <w:rPr>
          <w:rFonts w:ascii="Times New Roman" w:hAnsi="Times New Roman"/>
          <w:sz w:val="26"/>
          <w:szCs w:val="26"/>
        </w:rPr>
        <w:t>несенные</w:t>
      </w:r>
      <w:r w:rsidRPr="00DE7DA2">
        <w:rPr>
          <w:rFonts w:ascii="Times New Roman" w:hAnsi="Times New Roman"/>
          <w:sz w:val="26"/>
          <w:szCs w:val="26"/>
        </w:rPr>
        <w:t xml:space="preserve"> в отдельную строку формулы выравниваются посередине строки, номер заключается в круглые скобки и выравнивается по правому краю текста, как показано ниже:</w:t>
      </w:r>
    </w:p>
    <w:p w:rsidR="00B43968" w:rsidRPr="00DE7DA2" w:rsidRDefault="00B43968" w:rsidP="00B43968">
      <w:pPr>
        <w:widowControl w:val="0"/>
        <w:shd w:val="clear" w:color="auto" w:fill="FFFFFF"/>
        <w:tabs>
          <w:tab w:val="center" w:pos="4678"/>
          <w:tab w:val="right" w:pos="935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position w:val="-24"/>
          <w:sz w:val="26"/>
          <w:szCs w:val="26"/>
        </w:rPr>
        <w:tab/>
      </w:r>
      <w:r w:rsidRPr="00DE7DA2">
        <w:rPr>
          <w:rFonts w:ascii="Times New Roman" w:hAnsi="Times New Roman"/>
          <w:position w:val="-24"/>
          <w:sz w:val="26"/>
          <w:szCs w:val="26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31pt" o:ole="">
            <v:imagedata r:id="rId7" o:title=""/>
          </v:shape>
          <o:OLEObject Type="Embed" ProgID="Equation.3" ShapeID="_x0000_i1025" DrawAspect="Content" ObjectID="_1584620396" r:id="rId8"/>
        </w:object>
      </w:r>
      <w:r w:rsidRPr="00DE7DA2">
        <w:rPr>
          <w:rFonts w:ascii="Times New Roman" w:hAnsi="Times New Roman"/>
          <w:sz w:val="26"/>
          <w:szCs w:val="26"/>
        </w:rPr>
        <w:t>,</w:t>
      </w:r>
      <w:r w:rsidRPr="00DE7DA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E7DA2">
        <w:rPr>
          <w:rFonts w:ascii="Times New Roman" w:hAnsi="Times New Roman"/>
          <w:sz w:val="26"/>
          <w:szCs w:val="26"/>
        </w:rPr>
        <w:t>(1)</w:t>
      </w:r>
    </w:p>
    <w:p w:rsidR="00B43968" w:rsidRPr="00DE7DA2" w:rsidRDefault="00B43968" w:rsidP="00B43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шрифтовое начертание обозначений в формулах, в таблицах и в основном тексте должно быть полностью идентичным. Ссылки на формулы и таблицы даются в круглых скобках, ссылки на использованные источники (литературу) - в квадратных скобках</w:t>
      </w:r>
      <w:r>
        <w:rPr>
          <w:rFonts w:ascii="Times New Roman" w:hAnsi="Times New Roman"/>
          <w:sz w:val="26"/>
          <w:szCs w:val="26"/>
        </w:rPr>
        <w:t xml:space="preserve">, например, </w:t>
      </w:r>
      <w:r w:rsidRPr="002C36C0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3</w:t>
      </w:r>
      <w:r w:rsidRPr="002C36C0">
        <w:rPr>
          <w:rFonts w:ascii="Times New Roman" w:hAnsi="Times New Roman"/>
          <w:sz w:val="26"/>
          <w:szCs w:val="26"/>
        </w:rPr>
        <w:t>]</w:t>
      </w:r>
      <w:r w:rsidRPr="00DE7DA2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B43968" w:rsidRPr="00DE7DA2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E7DA2">
        <w:rPr>
          <w:rFonts w:ascii="Times New Roman" w:hAnsi="Times New Roman"/>
          <w:b/>
          <w:sz w:val="26"/>
          <w:szCs w:val="26"/>
        </w:rPr>
        <w:t>Элементы заглавия публикуемого материала (шрифт полужирный)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УДК (выравнивание по левому краю)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название статьи (заглавными полужирными буквами, выравнивание по центру).</w:t>
      </w:r>
    </w:p>
    <w:p w:rsidR="00B43968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перечень авторов через одну строку (Фамилия</w:t>
      </w:r>
      <w:r>
        <w:rPr>
          <w:rFonts w:ascii="Times New Roman" w:hAnsi="Times New Roman"/>
          <w:sz w:val="26"/>
          <w:szCs w:val="26"/>
        </w:rPr>
        <w:t>,</w:t>
      </w:r>
      <w:r w:rsidRPr="00DE7D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DE7DA2">
        <w:rPr>
          <w:rFonts w:ascii="Times New Roman" w:hAnsi="Times New Roman"/>
          <w:sz w:val="26"/>
          <w:szCs w:val="26"/>
        </w:rPr>
        <w:t>мя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E7DA2">
        <w:rPr>
          <w:rFonts w:ascii="Times New Roman" w:hAnsi="Times New Roman"/>
          <w:sz w:val="26"/>
          <w:szCs w:val="26"/>
        </w:rPr>
        <w:t>отчество</w:t>
      </w:r>
      <w:r>
        <w:rPr>
          <w:rFonts w:ascii="Times New Roman" w:hAnsi="Times New Roman"/>
          <w:sz w:val="26"/>
          <w:szCs w:val="26"/>
        </w:rPr>
        <w:t xml:space="preserve"> полностью</w:t>
      </w:r>
      <w:r w:rsidRPr="00DE7DA2">
        <w:rPr>
          <w:rFonts w:ascii="Times New Roman" w:hAnsi="Times New Roman"/>
          <w:sz w:val="26"/>
          <w:szCs w:val="26"/>
        </w:rPr>
        <w:t xml:space="preserve">, затем </w:t>
      </w:r>
      <w:r>
        <w:rPr>
          <w:rFonts w:ascii="Times New Roman" w:hAnsi="Times New Roman"/>
          <w:sz w:val="26"/>
          <w:szCs w:val="26"/>
        </w:rPr>
        <w:t>после запятой, ученая степень, должность, например – к.т.н., доцент; аспирант; студент; д.т.н., профессор; ст. преподаватель; к.э.н., ассистент</w:t>
      </w:r>
      <w:r w:rsidRPr="00DE7DA2">
        <w:rPr>
          <w:rFonts w:ascii="Times New Roman" w:hAnsi="Times New Roman"/>
          <w:sz w:val="26"/>
          <w:szCs w:val="26"/>
        </w:rPr>
        <w:t>), выравнивание по центру.</w:t>
      </w:r>
    </w:p>
    <w:p w:rsidR="00B43968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 и ключевые слова размещается с полями слева и справа – 2 см от края основного текста, абзацный отступ – 0,5 см, шрифт такой же как и в тексте, слова «Ключевые слова» выделить курсивом.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4AAF">
        <w:rPr>
          <w:rFonts w:ascii="Times New Roman" w:hAnsi="Times New Roman"/>
          <w:b/>
          <w:sz w:val="26"/>
          <w:szCs w:val="26"/>
        </w:rPr>
        <w:t>продублировать на английском языке название, авторов без указания</w:t>
      </w:r>
      <w:r>
        <w:rPr>
          <w:rFonts w:ascii="Times New Roman" w:hAnsi="Times New Roman"/>
          <w:sz w:val="26"/>
          <w:szCs w:val="26"/>
        </w:rPr>
        <w:t xml:space="preserve"> степени, должности через запятую на одной строке, аннотацию и ключевые слова. Перевод на английский язык должен быть тщательно выверен;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каждый элемент заглавия приводится с пропуском одной строки от предыдущего элемента (см</w:t>
      </w:r>
      <w:r>
        <w:rPr>
          <w:rFonts w:ascii="Times New Roman" w:hAnsi="Times New Roman"/>
          <w:sz w:val="26"/>
          <w:szCs w:val="26"/>
        </w:rPr>
        <w:t>.</w:t>
      </w:r>
      <w:r w:rsidRPr="00DE7D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 оформления статьи</w:t>
      </w:r>
      <w:r w:rsidRPr="00DE7DA2">
        <w:rPr>
          <w:rFonts w:ascii="Times New Roman" w:hAnsi="Times New Roman"/>
          <w:sz w:val="26"/>
          <w:szCs w:val="26"/>
        </w:rPr>
        <w:t>).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lastRenderedPageBreak/>
        <w:t xml:space="preserve">строка с текстом </w:t>
      </w:r>
      <w:r>
        <w:rPr>
          <w:rFonts w:ascii="Times New Roman" w:hAnsi="Times New Roman"/>
          <w:sz w:val="26"/>
          <w:szCs w:val="26"/>
        </w:rPr>
        <w:t xml:space="preserve">«Список литературы» </w:t>
      </w:r>
      <w:r w:rsidRPr="00DE7DA2">
        <w:rPr>
          <w:rFonts w:ascii="Times New Roman" w:hAnsi="Times New Roman"/>
          <w:sz w:val="26"/>
          <w:szCs w:val="26"/>
        </w:rPr>
        <w:t xml:space="preserve"> через одну строку после основного текста.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собственно список</w:t>
      </w:r>
      <w:r>
        <w:rPr>
          <w:rFonts w:ascii="Times New Roman" w:hAnsi="Times New Roman"/>
          <w:sz w:val="26"/>
          <w:szCs w:val="26"/>
        </w:rPr>
        <w:t xml:space="preserve"> литературы</w:t>
      </w:r>
      <w:r w:rsidRPr="00DE7DA2">
        <w:rPr>
          <w:rFonts w:ascii="Times New Roman" w:hAnsi="Times New Roman"/>
          <w:sz w:val="26"/>
          <w:szCs w:val="26"/>
        </w:rPr>
        <w:t>: каждая ссылка с номером в отдельном абзаце. Выполняется по ГОСТ 7.1-2003. Библиографическое описание документа. Введ. 01.07.2004. М.: Изд-во стандартов, 2004.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возможны ссылки на материалы, размещенные в сети Интернет (см. пример</w:t>
      </w:r>
      <w:r>
        <w:rPr>
          <w:rFonts w:ascii="Times New Roman" w:hAnsi="Times New Roman"/>
          <w:sz w:val="26"/>
          <w:szCs w:val="26"/>
        </w:rPr>
        <w:t xml:space="preserve"> оформления элементов списка литературы ниже</w:t>
      </w:r>
      <w:r w:rsidRPr="00DE7DA2">
        <w:rPr>
          <w:rFonts w:ascii="Times New Roman" w:hAnsi="Times New Roman"/>
          <w:sz w:val="26"/>
          <w:szCs w:val="26"/>
        </w:rPr>
        <w:t>)</w:t>
      </w:r>
    </w:p>
    <w:p w:rsidR="00B43968" w:rsidRPr="00DE7DA2" w:rsidRDefault="00B43968" w:rsidP="00B4396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приводятся только источники, на которые есть ссылки в тексте.</w:t>
      </w:r>
    </w:p>
    <w:p w:rsidR="00B43968" w:rsidRPr="00907143" w:rsidRDefault="00B43968" w:rsidP="00B439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7143">
        <w:rPr>
          <w:rFonts w:ascii="Times New Roman" w:hAnsi="Times New Roman"/>
          <w:b/>
          <w:sz w:val="26"/>
          <w:szCs w:val="26"/>
        </w:rPr>
        <w:t>Пример оформления элементов списка литературы.</w:t>
      </w:r>
    </w:p>
    <w:p w:rsidR="00B43968" w:rsidRPr="00DE7DA2" w:rsidRDefault="00B43968" w:rsidP="00B43968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7DA2">
        <w:rPr>
          <w:rFonts w:ascii="Times New Roman" w:hAnsi="Times New Roman"/>
          <w:sz w:val="26"/>
          <w:szCs w:val="26"/>
        </w:rPr>
        <w:t>Иванов И.С. Банковское дело. – М.: Экономика, 2007. – 181 с.</w:t>
      </w:r>
    </w:p>
    <w:p w:rsidR="00B43968" w:rsidRPr="00DE7DA2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E7DA2">
        <w:rPr>
          <w:rFonts w:ascii="Times New Roman" w:hAnsi="Times New Roman"/>
          <w:color w:val="000000"/>
          <w:sz w:val="26"/>
          <w:szCs w:val="26"/>
        </w:rPr>
        <w:t>2. </w:t>
      </w:r>
      <w:hyperlink r:id="rId9" w:history="1">
        <w:r w:rsidRPr="00DE7DA2">
          <w:rPr>
            <w:rFonts w:ascii="Times New Roman" w:hAnsi="Times New Roman"/>
            <w:sz w:val="26"/>
            <w:szCs w:val="26"/>
          </w:rPr>
          <w:t>Теплых С.Ю.</w:t>
        </w:r>
      </w:hyperlink>
      <w:r w:rsidRPr="00DE7DA2">
        <w:rPr>
          <w:rFonts w:ascii="Times New Roman" w:hAnsi="Times New Roman"/>
          <w:sz w:val="26"/>
          <w:szCs w:val="26"/>
        </w:rPr>
        <w:t>, </w:t>
      </w:r>
      <w:hyperlink r:id="rId10" w:history="1">
        <w:r w:rsidRPr="00DE7DA2">
          <w:rPr>
            <w:rFonts w:ascii="Times New Roman" w:hAnsi="Times New Roman"/>
            <w:sz w:val="26"/>
            <w:szCs w:val="26"/>
          </w:rPr>
          <w:t>Горшкалев П.А.</w:t>
        </w:r>
      </w:hyperlink>
      <w:r w:rsidRPr="00DE7DA2">
        <w:rPr>
          <w:rFonts w:ascii="Times New Roman" w:hAnsi="Times New Roman"/>
          <w:sz w:val="26"/>
          <w:szCs w:val="26"/>
        </w:rPr>
        <w:t>, </w:t>
      </w:r>
      <w:hyperlink r:id="rId11" w:history="1">
        <w:r w:rsidRPr="00DE7DA2">
          <w:rPr>
            <w:rFonts w:ascii="Times New Roman" w:hAnsi="Times New Roman"/>
            <w:sz w:val="26"/>
            <w:szCs w:val="26"/>
          </w:rPr>
          <w:t>Саргсян А.М.</w:t>
        </w:r>
      </w:hyperlink>
      <w:r w:rsidRPr="00DE7DA2">
        <w:rPr>
          <w:rFonts w:ascii="Times New Roman" w:hAnsi="Times New Roman"/>
          <w:sz w:val="26"/>
          <w:szCs w:val="26"/>
        </w:rPr>
        <w:t xml:space="preserve"> Современное состояние вопроса сбора и очистки поверхностного стока с железной дороги // </w:t>
      </w:r>
      <w:hyperlink r:id="rId12" w:tooltip="Научное обозрение" w:history="1">
        <w:r w:rsidRPr="00DE7DA2">
          <w:rPr>
            <w:rFonts w:ascii="Times New Roman" w:hAnsi="Times New Roman"/>
            <w:sz w:val="26"/>
            <w:szCs w:val="26"/>
          </w:rPr>
          <w:t>Научное обозрение</w:t>
        </w:r>
      </w:hyperlink>
      <w:r w:rsidRPr="00DE7DA2">
        <w:rPr>
          <w:rFonts w:ascii="Times New Roman" w:hAnsi="Times New Roman"/>
          <w:sz w:val="26"/>
          <w:szCs w:val="26"/>
        </w:rPr>
        <w:t>. 2014</w:t>
      </w:r>
      <w:r w:rsidRPr="00DE7DA2">
        <w:rPr>
          <w:rFonts w:ascii="Times New Roman" w:hAnsi="Times New Roman"/>
          <w:color w:val="000000"/>
          <w:sz w:val="26"/>
          <w:szCs w:val="26"/>
        </w:rPr>
        <w:t xml:space="preserve">.  № 4.  С. 123-129.  </w:t>
      </w:r>
    </w:p>
    <w:p w:rsidR="00B43968" w:rsidRPr="00DE7DA2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E7DA2">
        <w:rPr>
          <w:rFonts w:ascii="Times New Roman" w:hAnsi="Times New Roman"/>
          <w:color w:val="000000"/>
          <w:sz w:val="26"/>
          <w:szCs w:val="26"/>
        </w:rPr>
        <w:t>3. Справочная книга по светотехнике / Под ред. Ю.Б. Айзенберга. – М.: Знак, 2010. – 972 с.</w:t>
      </w:r>
    </w:p>
    <w:p w:rsidR="00B43968" w:rsidRPr="00DE7DA2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</w:rPr>
        <w:t xml:space="preserve">4. </w:t>
      </w:r>
      <w:r w:rsidRPr="00DE7DA2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Костенко Е.М. Метод построения оптимальных планов многофакторного эксперимента на основе символьных последовательностей // Современные научные исследования и инновации. 2013. № 3 [Электронный ресурс]. – Режим доступа </w:t>
      </w:r>
      <w:hyperlink r:id="rId13" w:history="1">
        <w:r w:rsidRPr="00DE7DA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http://web.snauka.ru/issues/2013/03/23024</w:t>
        </w:r>
      </w:hyperlink>
      <w:r w:rsidRPr="00DE7DA2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</w:t>
      </w: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(дата обращения: 11.02.12).</w:t>
      </w:r>
    </w:p>
    <w:p w:rsidR="00B43968" w:rsidRPr="00DE7DA2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5. Рынок тренингов Новосибирска: своя игра / [Электронный ресурс]. – Режим доступа: http://nsk.adme.ru/news/2006/07/03/2121.html (дата обращения: 17.10.08).</w:t>
      </w:r>
    </w:p>
    <w:p w:rsidR="00B43968" w:rsidRPr="00DE7DA2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  <w:shd w:val="clear" w:color="auto" w:fill="FFFFFF"/>
        </w:rPr>
        <w:t xml:space="preserve">6. Глухов В. А. Исследование, разработка и построение системы электронной доставки документов в библиотеке: 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втореф. дис. ... канд. техн. наук. – Новосибирск, 2000. – 18 с.</w:t>
      </w:r>
    </w:p>
    <w:p w:rsidR="00B43968" w:rsidRPr="00DE7DA2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7. Фенухин В. И. Этнополитические конфликты в современной России: на примере Северо-Кавказкого региона : дис. ... канд. полит. наук. – М., 2002. – 267 с.</w:t>
      </w:r>
    </w:p>
    <w:p w:rsidR="00B43968" w:rsidRPr="00DE7DA2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8. Ланских Д.М. Разработка ландшафтного плана как необходимое условие устойчивого развития города // Экология ландшафта и планирование землепользования: тезисы докл. Всерос. конф. (Иркутск, 11-12 сент.2012г.). Пенза, 2000. С.125–128.</w:t>
      </w:r>
    </w:p>
    <w:p w:rsidR="00B43968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E7DA2">
        <w:rPr>
          <w:rFonts w:ascii="Times New Roman" w:hAnsi="Times New Roman"/>
          <w:sz w:val="26"/>
          <w:szCs w:val="26"/>
          <w:shd w:val="clear" w:color="auto" w:fill="FFFFFF"/>
        </w:rPr>
        <w:t>9. Оптико-электронный аппарат // Патент РФ № 2122745. 1998. Бюл. № 33. / Еськов Д.Н., Бонштедт Б.Э., Корешев С.Н.</w:t>
      </w:r>
    </w:p>
    <w:p w:rsidR="00B43968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43968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43968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B5E84">
        <w:rPr>
          <w:rFonts w:ascii="Times New Roman" w:hAnsi="Times New Roman"/>
          <w:b/>
          <w:sz w:val="26"/>
          <w:szCs w:val="26"/>
          <w:shd w:val="clear" w:color="auto" w:fill="FFFFFF"/>
        </w:rPr>
        <w:t>Образец</w:t>
      </w:r>
    </w:p>
    <w:p w:rsidR="00B43968" w:rsidRDefault="00B43968" w:rsidP="00B43968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43968" w:rsidRPr="00800BCC" w:rsidRDefault="00B43968" w:rsidP="00B4396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00BCC">
        <w:rPr>
          <w:rFonts w:ascii="Times New Roman" w:hAnsi="Times New Roman"/>
          <w:b/>
          <w:sz w:val="30"/>
          <w:szCs w:val="30"/>
        </w:rPr>
        <w:t>УДК 004.451.9</w:t>
      </w:r>
    </w:p>
    <w:p w:rsidR="00B43968" w:rsidRPr="00800BCC" w:rsidRDefault="00B43968" w:rsidP="00B43968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00BCC">
        <w:rPr>
          <w:rFonts w:ascii="Times New Roman" w:hAnsi="Times New Roman"/>
          <w:b/>
          <w:sz w:val="30"/>
          <w:szCs w:val="30"/>
        </w:rPr>
        <w:t xml:space="preserve">ОЦЕНКА УЯЗВИМОСТЕЙ МОБИЛЬНОЙ ОПЕРАЦИОННОЙ СИСТЕМЫ </w:t>
      </w:r>
      <w:r w:rsidRPr="00800BCC">
        <w:rPr>
          <w:rFonts w:ascii="Times New Roman" w:hAnsi="Times New Roman"/>
          <w:b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b/>
          <w:sz w:val="30"/>
          <w:szCs w:val="30"/>
        </w:rPr>
        <w:t xml:space="preserve"> МЕТОДОМ РЕГРЕССИОННОГО АНАЛИЗА</w:t>
      </w:r>
    </w:p>
    <w:p w:rsidR="00B43968" w:rsidRPr="00800BCC" w:rsidRDefault="00B43968" w:rsidP="00B439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00BCC">
        <w:rPr>
          <w:rFonts w:ascii="Times New Roman" w:hAnsi="Times New Roman"/>
          <w:b/>
          <w:sz w:val="30"/>
          <w:szCs w:val="30"/>
        </w:rPr>
        <w:t>Меликов К.М., к.т.н., доцент</w:t>
      </w: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00BCC">
        <w:rPr>
          <w:rFonts w:ascii="Times New Roman" w:hAnsi="Times New Roman"/>
          <w:b/>
          <w:sz w:val="30"/>
          <w:szCs w:val="30"/>
        </w:rPr>
        <w:t>Сардаров Р.Т., студент</w:t>
      </w: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left="1134" w:right="1133" w:firstLine="284"/>
        <w:jc w:val="both"/>
        <w:rPr>
          <w:rFonts w:ascii="Times New Roman" w:hAnsi="Times New Roman"/>
          <w:sz w:val="26"/>
          <w:szCs w:val="26"/>
        </w:rPr>
      </w:pPr>
      <w:r w:rsidRPr="00800BCC">
        <w:rPr>
          <w:rFonts w:ascii="Times New Roman" w:hAnsi="Times New Roman"/>
          <w:sz w:val="26"/>
          <w:szCs w:val="26"/>
        </w:rPr>
        <w:t xml:space="preserve">Проведен анализ открытой мобильной операционной системы </w:t>
      </w:r>
      <w:r w:rsidRPr="00800BCC">
        <w:rPr>
          <w:rFonts w:ascii="Times New Roman" w:hAnsi="Times New Roman"/>
          <w:sz w:val="26"/>
          <w:szCs w:val="26"/>
          <w:lang w:val="en-US"/>
        </w:rPr>
        <w:t>Android</w:t>
      </w:r>
      <w:r w:rsidRPr="00800BCC">
        <w:rPr>
          <w:rFonts w:ascii="Times New Roman" w:hAnsi="Times New Roman"/>
          <w:sz w:val="26"/>
          <w:szCs w:val="26"/>
        </w:rPr>
        <w:t xml:space="preserve">, базирующейся на ядре </w:t>
      </w:r>
      <w:r w:rsidRPr="00800BCC">
        <w:rPr>
          <w:rFonts w:ascii="Times New Roman" w:hAnsi="Times New Roman"/>
          <w:sz w:val="26"/>
          <w:szCs w:val="26"/>
          <w:lang w:val="en-US"/>
        </w:rPr>
        <w:t>Linux</w:t>
      </w:r>
      <w:r w:rsidRPr="00800BCC">
        <w:rPr>
          <w:rFonts w:ascii="Times New Roman" w:hAnsi="Times New Roman"/>
          <w:sz w:val="26"/>
          <w:szCs w:val="26"/>
        </w:rPr>
        <w:t xml:space="preserve">, на подверженность воздействию вредоносного программного обеспечения.  На базе статистических данных по динамике появления новых вредоносных продуктов построен прогноз дальнейшего распространения угроз </w:t>
      </w:r>
      <w:r w:rsidRPr="00800BCC">
        <w:rPr>
          <w:rFonts w:ascii="Times New Roman" w:hAnsi="Times New Roman"/>
          <w:sz w:val="26"/>
          <w:szCs w:val="26"/>
        </w:rPr>
        <w:lastRenderedPageBreak/>
        <w:t xml:space="preserve">для операционной системы </w:t>
      </w:r>
      <w:r w:rsidRPr="00800BCC">
        <w:rPr>
          <w:rFonts w:ascii="Times New Roman" w:hAnsi="Times New Roman"/>
          <w:sz w:val="26"/>
          <w:szCs w:val="26"/>
          <w:lang w:val="en-US"/>
        </w:rPr>
        <w:t>Android</w:t>
      </w:r>
      <w:r w:rsidRPr="00800BCC">
        <w:rPr>
          <w:rFonts w:ascii="Times New Roman" w:hAnsi="Times New Roman"/>
          <w:sz w:val="26"/>
          <w:szCs w:val="26"/>
        </w:rPr>
        <w:t xml:space="preserve"> с использованием регрессионной модели.</w:t>
      </w:r>
    </w:p>
    <w:p w:rsidR="00B43968" w:rsidRPr="00800BCC" w:rsidRDefault="00B43968" w:rsidP="00B43968">
      <w:pPr>
        <w:spacing w:after="0" w:line="240" w:lineRule="auto"/>
        <w:ind w:left="1134" w:right="1133" w:firstLine="284"/>
        <w:jc w:val="both"/>
        <w:rPr>
          <w:rFonts w:ascii="Times New Roman" w:hAnsi="Times New Roman"/>
          <w:sz w:val="26"/>
          <w:szCs w:val="26"/>
        </w:rPr>
      </w:pPr>
      <w:r w:rsidRPr="00800BCC">
        <w:rPr>
          <w:rFonts w:ascii="Times New Roman" w:hAnsi="Times New Roman"/>
          <w:i/>
          <w:sz w:val="26"/>
          <w:szCs w:val="26"/>
        </w:rPr>
        <w:t>Ключевые слова:</w:t>
      </w:r>
      <w:r w:rsidRPr="00800BCC">
        <w:rPr>
          <w:rFonts w:ascii="Times New Roman" w:hAnsi="Times New Roman"/>
          <w:sz w:val="26"/>
          <w:szCs w:val="26"/>
        </w:rPr>
        <w:t xml:space="preserve"> операционная система </w:t>
      </w:r>
      <w:r w:rsidRPr="00800BCC">
        <w:rPr>
          <w:rFonts w:ascii="Times New Roman" w:hAnsi="Times New Roman"/>
          <w:sz w:val="26"/>
          <w:szCs w:val="26"/>
          <w:lang w:val="en-US"/>
        </w:rPr>
        <w:t>Android</w:t>
      </w:r>
      <w:r w:rsidRPr="00800BCC">
        <w:rPr>
          <w:rFonts w:ascii="Times New Roman" w:hAnsi="Times New Roman"/>
          <w:sz w:val="26"/>
          <w:szCs w:val="26"/>
        </w:rPr>
        <w:t>, регрессионная модель, уязвимость, вредоносное программное обеспечение.</w:t>
      </w: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 xml:space="preserve">Количество приложений, созданных для работы в среде операционной системы (ОС) </w:t>
      </w:r>
      <w:r w:rsidRPr="00800BCC">
        <w:rPr>
          <w:rFonts w:ascii="Times New Roman" w:hAnsi="Times New Roman"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sz w:val="30"/>
          <w:szCs w:val="30"/>
        </w:rPr>
        <w:t>, с каждым годом растет лавинообразно, вместе с тем это открывает широкие возможности для злоумышленников создавать и внедрять вредоносное программное обеспечение (ПО), предназначенное, во-первых, для хищения персональных данных пользователей, во-вторых, для хищения денежных средств, как со счета мобильного телефона, так и со счетов электронных платежных систем[1].</w:t>
      </w:r>
    </w:p>
    <w:p w:rsidR="00B43968" w:rsidRPr="00800BCC" w:rsidRDefault="00B43968" w:rsidP="00B4396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00BCC">
        <w:rPr>
          <w:sz w:val="30"/>
          <w:szCs w:val="30"/>
        </w:rPr>
        <w:t xml:space="preserve">Однако многие владельцы смартфонов и планшетов продолжают игнорировать киберугрозы. Согласно исследованиям, проведенным «Лабораторией Касперского» совместно с компанией B2B International в 2014 году, почти половина мобильных устройств в России, а именно 46% смартфонов и 41% планшетов Android, не защищены никаким антивирусным продуктом, 26% смартфонов и 18% планшетов не защищены даже паролем (таблица).   </w:t>
      </w:r>
    </w:p>
    <w:p w:rsidR="00B43968" w:rsidRPr="00800BCC" w:rsidRDefault="00B43968" w:rsidP="00B4396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00BCC">
        <w:rPr>
          <w:sz w:val="30"/>
          <w:szCs w:val="30"/>
        </w:rPr>
        <w:t xml:space="preserve">Стоит напомнить о некоторых видах вредоносного ПО, делающих приложения на базе ОС </w:t>
      </w:r>
      <w:r w:rsidRPr="00800BCC">
        <w:rPr>
          <w:sz w:val="30"/>
          <w:szCs w:val="30"/>
          <w:lang w:val="en-US"/>
        </w:rPr>
        <w:t>Android</w:t>
      </w:r>
      <w:r w:rsidRPr="00800BCC">
        <w:rPr>
          <w:sz w:val="30"/>
          <w:szCs w:val="30"/>
        </w:rPr>
        <w:t xml:space="preserve"> весьма уязвимыми. Например, появились программы, способные получать доступ к информации на </w:t>
      </w:r>
      <w:r w:rsidRPr="00800BCC">
        <w:rPr>
          <w:sz w:val="30"/>
          <w:szCs w:val="30"/>
          <w:lang w:val="en-US"/>
        </w:rPr>
        <w:t>SD</w:t>
      </w:r>
      <w:r w:rsidRPr="00800BCC">
        <w:rPr>
          <w:sz w:val="30"/>
          <w:szCs w:val="30"/>
        </w:rPr>
        <w:t xml:space="preserve">-карте, собирать данные о пользователе и отправлять информацию на удаленный сервер; программы, использующие микрофон мобильного устройства, при помощи специального алгоритма распознающие номера кредитных карт и данные для их использования [2, 3]. </w:t>
      </w:r>
    </w:p>
    <w:p w:rsidR="00B43968" w:rsidRDefault="00B43968" w:rsidP="00B439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>Таблица – Динамика роста компьютерных угроз за 2011-2015 гг.</w:t>
      </w: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1017"/>
        <w:gridCol w:w="869"/>
        <w:gridCol w:w="975"/>
        <w:gridCol w:w="1018"/>
        <w:gridCol w:w="869"/>
      </w:tblGrid>
      <w:tr w:rsidR="00B43968" w:rsidRPr="00800BCC" w:rsidTr="00A96387">
        <w:trPr>
          <w:jc w:val="center"/>
        </w:trPr>
        <w:tc>
          <w:tcPr>
            <w:tcW w:w="0" w:type="auto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Годы</w:t>
            </w:r>
          </w:p>
        </w:tc>
        <w:tc>
          <w:tcPr>
            <w:tcW w:w="1017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2011</w:t>
            </w:r>
          </w:p>
        </w:tc>
        <w:tc>
          <w:tcPr>
            <w:tcW w:w="869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2012</w:t>
            </w:r>
          </w:p>
        </w:tc>
        <w:tc>
          <w:tcPr>
            <w:tcW w:w="975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2013</w:t>
            </w:r>
          </w:p>
        </w:tc>
        <w:tc>
          <w:tcPr>
            <w:tcW w:w="1018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2014</w:t>
            </w:r>
          </w:p>
        </w:tc>
        <w:tc>
          <w:tcPr>
            <w:tcW w:w="869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2015</w:t>
            </w:r>
          </w:p>
        </w:tc>
      </w:tr>
      <w:tr w:rsidR="00B43968" w:rsidRPr="00800BCC" w:rsidTr="00A96387">
        <w:trPr>
          <w:jc w:val="center"/>
        </w:trPr>
        <w:tc>
          <w:tcPr>
            <w:tcW w:w="0" w:type="auto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Количество угроз, тыс.</w:t>
            </w:r>
          </w:p>
        </w:tc>
        <w:tc>
          <w:tcPr>
            <w:tcW w:w="1017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1350</w:t>
            </w:r>
          </w:p>
        </w:tc>
        <w:tc>
          <w:tcPr>
            <w:tcW w:w="869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1456</w:t>
            </w:r>
          </w:p>
        </w:tc>
        <w:tc>
          <w:tcPr>
            <w:tcW w:w="975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1567</w:t>
            </w:r>
          </w:p>
        </w:tc>
        <w:tc>
          <w:tcPr>
            <w:tcW w:w="1018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1876</w:t>
            </w:r>
          </w:p>
        </w:tc>
        <w:tc>
          <w:tcPr>
            <w:tcW w:w="869" w:type="dxa"/>
          </w:tcPr>
          <w:p w:rsidR="00B43968" w:rsidRPr="00800BCC" w:rsidRDefault="00B43968" w:rsidP="00A9638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0BCC">
              <w:rPr>
                <w:rFonts w:ascii="Times New Roman" w:hAnsi="Times New Roman"/>
                <w:sz w:val="30"/>
                <w:szCs w:val="30"/>
              </w:rPr>
              <w:t>2063</w:t>
            </w:r>
          </w:p>
        </w:tc>
      </w:tr>
    </w:tbl>
    <w:p w:rsidR="00B43968" w:rsidRPr="00800BCC" w:rsidRDefault="00B43968" w:rsidP="00B439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 xml:space="preserve">На базе статистических данных по динамике появления новых вредоносных продуктов построен прогноз дальнейшего распространения угроз для ОС </w:t>
      </w:r>
      <w:r w:rsidRPr="00800BCC">
        <w:rPr>
          <w:rFonts w:ascii="Times New Roman" w:hAnsi="Times New Roman"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sz w:val="30"/>
          <w:szCs w:val="30"/>
        </w:rPr>
        <w:t xml:space="preserve"> с использованием регрессионной модели (рисунок). Прогнозная кривая в виде степенной функции </w:t>
      </w:r>
    </w:p>
    <w:p w:rsidR="00B43968" w:rsidRPr="00800BCC" w:rsidRDefault="00B43968" w:rsidP="00B43968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i/>
          <w:sz w:val="30"/>
          <w:szCs w:val="30"/>
          <w:lang w:val="en-US"/>
        </w:rPr>
        <w:t>y</w:t>
      </w:r>
      <w:r w:rsidRPr="00800BCC">
        <w:rPr>
          <w:rFonts w:ascii="Times New Roman" w:hAnsi="Times New Roman"/>
          <w:sz w:val="30"/>
          <w:szCs w:val="30"/>
        </w:rPr>
        <w:t xml:space="preserve"> = 5298,5</w:t>
      </w:r>
      <w:r w:rsidRPr="00800BCC">
        <w:rPr>
          <w:rFonts w:ascii="Times New Roman" w:hAnsi="Times New Roman"/>
          <w:i/>
          <w:sz w:val="30"/>
          <w:szCs w:val="30"/>
          <w:lang w:val="en-US"/>
        </w:rPr>
        <w:t>x</w:t>
      </w:r>
      <w:r w:rsidRPr="00800BCC">
        <w:rPr>
          <w:rFonts w:ascii="Times New Roman" w:hAnsi="Times New Roman"/>
          <w:sz w:val="30"/>
          <w:szCs w:val="30"/>
          <w:vertAlign w:val="superscript"/>
        </w:rPr>
        <w:t>1,281</w:t>
      </w:r>
    </w:p>
    <w:p w:rsidR="00B43968" w:rsidRPr="00800BCC" w:rsidRDefault="00B43968" w:rsidP="00B439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 xml:space="preserve">показана пунктирной линией, достоверность аппроксимации составляет </w:t>
      </w:r>
      <w:r w:rsidRPr="00800BCC">
        <w:rPr>
          <w:rFonts w:ascii="Times New Roman" w:hAnsi="Times New Roman"/>
          <w:i/>
          <w:sz w:val="30"/>
          <w:szCs w:val="30"/>
          <w:lang w:val="en-US"/>
        </w:rPr>
        <w:t>R</w:t>
      </w:r>
      <w:r w:rsidRPr="00800BCC">
        <w:rPr>
          <w:rFonts w:ascii="Times New Roman" w:hAnsi="Times New Roman"/>
          <w:sz w:val="30"/>
          <w:szCs w:val="30"/>
          <w:vertAlign w:val="superscript"/>
        </w:rPr>
        <w:t>2</w:t>
      </w:r>
      <w:r w:rsidRPr="00800BCC">
        <w:rPr>
          <w:rFonts w:ascii="Times New Roman" w:hAnsi="Times New Roman"/>
          <w:sz w:val="30"/>
          <w:szCs w:val="30"/>
        </w:rPr>
        <w:t xml:space="preserve">=0,834. Согласно прогнозу количество вредоносных программ для ОС </w:t>
      </w:r>
      <w:r w:rsidRPr="00800BCC">
        <w:rPr>
          <w:rFonts w:ascii="Times New Roman" w:hAnsi="Times New Roman"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sz w:val="30"/>
          <w:szCs w:val="30"/>
        </w:rPr>
        <w:t xml:space="preserve"> может достигнуть к середине 2015 года более 134 тыс.</w:t>
      </w:r>
    </w:p>
    <w:p w:rsidR="00B43968" w:rsidRPr="00800BCC" w:rsidRDefault="00B43968" w:rsidP="00B4396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107270" cy="20223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32" cy="20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>Рисунок – Прогноз появления вредоносных программ для ОС (точки 12, 13, 14), построенный в виде регрессионной модели</w:t>
      </w: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 xml:space="preserve">На основе экспертного опроса специалистов </w:t>
      </w:r>
      <w:r w:rsidRPr="00800BCC">
        <w:rPr>
          <w:rFonts w:ascii="Times New Roman" w:hAnsi="Times New Roman"/>
          <w:sz w:val="30"/>
          <w:szCs w:val="30"/>
          <w:lang w:val="en-US"/>
        </w:rPr>
        <w:t>IT</w:t>
      </w:r>
      <w:r w:rsidRPr="00800BCC">
        <w:rPr>
          <w:rFonts w:ascii="Times New Roman" w:hAnsi="Times New Roman"/>
          <w:sz w:val="30"/>
          <w:szCs w:val="30"/>
        </w:rPr>
        <w:t xml:space="preserve">-безопасности составлен классификатор, отражающий значимость уязвимостей ОС </w:t>
      </w:r>
      <w:r w:rsidRPr="00800BCC">
        <w:rPr>
          <w:rFonts w:ascii="Times New Roman" w:hAnsi="Times New Roman"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sz w:val="30"/>
          <w:szCs w:val="30"/>
        </w:rPr>
        <w:t xml:space="preserve"> по шкале 0…1. В качестве мер предлагается ужесточение политики безопасности, тщательное слежение за безопасностью разрабатываемого ПО и за контентом, предлагаемым пользователям для установки на </w:t>
      </w:r>
      <w:r w:rsidRPr="00800BCC">
        <w:rPr>
          <w:rFonts w:ascii="Times New Roman" w:hAnsi="Times New Roman"/>
          <w:sz w:val="30"/>
          <w:szCs w:val="30"/>
          <w:lang w:val="en-US"/>
        </w:rPr>
        <w:t>AndroidMarket</w:t>
      </w:r>
      <w:r w:rsidRPr="00800BCC">
        <w:rPr>
          <w:rFonts w:ascii="Times New Roman" w:hAnsi="Times New Roman"/>
          <w:sz w:val="30"/>
          <w:szCs w:val="30"/>
        </w:rPr>
        <w:t>.</w:t>
      </w: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800BCC">
        <w:rPr>
          <w:rFonts w:ascii="Times New Roman" w:hAnsi="Times New Roman"/>
          <w:b/>
          <w:sz w:val="30"/>
          <w:szCs w:val="30"/>
        </w:rPr>
        <w:t>Список литературы</w:t>
      </w:r>
    </w:p>
    <w:p w:rsidR="00B43968" w:rsidRPr="00800BCC" w:rsidRDefault="00B43968" w:rsidP="00B43968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B43968" w:rsidRPr="00800BCC" w:rsidRDefault="00B43968" w:rsidP="00B43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0BCC">
        <w:rPr>
          <w:rFonts w:ascii="Times New Roman" w:hAnsi="Times New Roman"/>
          <w:sz w:val="30"/>
          <w:szCs w:val="30"/>
        </w:rPr>
        <w:t xml:space="preserve">1. Сорокин И.В. Вредоносное программное обеспечение в среде </w:t>
      </w:r>
      <w:r w:rsidRPr="00800BCC">
        <w:rPr>
          <w:rFonts w:ascii="Times New Roman" w:hAnsi="Times New Roman"/>
          <w:sz w:val="30"/>
          <w:szCs w:val="30"/>
          <w:lang w:val="en-US"/>
        </w:rPr>
        <w:t>Android</w:t>
      </w:r>
      <w:r w:rsidRPr="00800BCC">
        <w:rPr>
          <w:rFonts w:ascii="Times New Roman" w:hAnsi="Times New Roman"/>
          <w:sz w:val="30"/>
          <w:szCs w:val="30"/>
        </w:rPr>
        <w:t>. – М.: Форум, 2013. – 342 с.</w:t>
      </w:r>
    </w:p>
    <w:p w:rsidR="00B43968" w:rsidRPr="00800BCC" w:rsidRDefault="00B43968" w:rsidP="00B43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00BCC">
        <w:rPr>
          <w:rFonts w:ascii="Times New Roman" w:hAnsi="Times New Roman"/>
          <w:sz w:val="30"/>
          <w:szCs w:val="30"/>
        </w:rPr>
        <w:t>2. Незнание не освобождает: более трети российских пользователей не задумываются об угрозах для мобильных устройств</w:t>
      </w:r>
      <w:r w:rsidRPr="00800BCC">
        <w:rPr>
          <w:rFonts w:ascii="Times New Roman" w:hAnsi="Times New Roman"/>
          <w:sz w:val="30"/>
          <w:szCs w:val="30"/>
          <w:shd w:val="clear" w:color="auto" w:fill="FFFFFF"/>
        </w:rPr>
        <w:t xml:space="preserve"> / [Электронный ресурс]. – Режим доступа: http://www.kaspersky.ru/about/news/virus/2015/ (дата обращения: 06.03.15).</w:t>
      </w:r>
    </w:p>
    <w:p w:rsidR="00B43968" w:rsidRDefault="00B43968" w:rsidP="00B43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00BCC">
        <w:rPr>
          <w:rFonts w:ascii="Times New Roman" w:hAnsi="Times New Roman"/>
          <w:sz w:val="30"/>
          <w:szCs w:val="30"/>
          <w:shd w:val="clear" w:color="auto" w:fill="FFFFFF"/>
        </w:rPr>
        <w:t>3. Голиков Г.В. Экспертный метод оценки уязвимостей операционных систем // Вестник Дагестанского государственного технического университета. Технические науки. – 2013. – Т.1. – № 28. – С. 24-36.</w:t>
      </w:r>
    </w:p>
    <w:p w:rsidR="0042313B" w:rsidRDefault="0042313B" w:rsidP="00B43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42313B" w:rsidRPr="00800BCC" w:rsidRDefault="0042313B" w:rsidP="00B43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42313B" w:rsidRPr="00B43968" w:rsidRDefault="0042313B" w:rsidP="0042313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36"/>
      </w:tblGrid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2" w:rsidRDefault="008962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Заявка на участие в конференции </w:t>
            </w:r>
          </w:p>
          <w:p w:rsidR="009240F2" w:rsidRDefault="009240F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работы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Звание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  <w:p w:rsidR="003A6977" w:rsidRDefault="003A6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(для высылки сборника)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Контактный телефон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доклада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</w:tc>
      </w:tr>
      <w:tr w:rsidR="00896214" w:rsidTr="009240F2">
        <w:trPr>
          <w:trHeight w:val="109"/>
        </w:trPr>
        <w:tc>
          <w:tcPr>
            <w:tcW w:w="5236" w:type="dxa"/>
            <w:tcBorders>
              <w:top w:val="single" w:sz="4" w:space="0" w:color="auto"/>
            </w:tcBorders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96214" w:rsidRDefault="00896214" w:rsidP="00DE08FA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04"/>
      </w:tblGrid>
      <w:tr w:rsidR="00896214" w:rsidTr="000C0908">
        <w:trPr>
          <w:trHeight w:val="523"/>
        </w:trPr>
        <w:tc>
          <w:tcPr>
            <w:tcW w:w="9204" w:type="dxa"/>
          </w:tcPr>
          <w:p w:rsidR="00896214" w:rsidRDefault="00896214" w:rsidP="00310C6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896214" w:rsidTr="000C0908">
        <w:trPr>
          <w:trHeight w:val="1213"/>
        </w:trPr>
        <w:tc>
          <w:tcPr>
            <w:tcW w:w="9204" w:type="dxa"/>
          </w:tcPr>
          <w:p w:rsidR="00896214" w:rsidRDefault="00896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96214" w:rsidRPr="003A3F79" w:rsidRDefault="00896214" w:rsidP="003A3F79">
      <w:pPr>
        <w:pStyle w:val="Default"/>
        <w:jc w:val="center"/>
        <w:rPr>
          <w:sz w:val="28"/>
          <w:szCs w:val="28"/>
        </w:rPr>
      </w:pPr>
      <w:r w:rsidRPr="003A3F79">
        <w:rPr>
          <w:b/>
          <w:bCs/>
          <w:i/>
          <w:iCs/>
          <w:sz w:val="28"/>
          <w:szCs w:val="28"/>
        </w:rPr>
        <w:t>Благодарим за проявленный интерес и надеемся</w:t>
      </w:r>
    </w:p>
    <w:p w:rsidR="00896214" w:rsidRPr="003A3F79" w:rsidRDefault="00896214" w:rsidP="003A3F79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3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плодотворное сотрудничество.</w:t>
      </w:r>
    </w:p>
    <w:sectPr w:rsidR="00896214" w:rsidRPr="003A3F79" w:rsidSect="00A96387">
      <w:footerReference w:type="default" r:id="rId15"/>
      <w:pgSz w:w="11906" w:h="16838"/>
      <w:pgMar w:top="568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77" w:rsidRDefault="000C3B77" w:rsidP="00A96387">
      <w:pPr>
        <w:spacing w:after="0" w:line="240" w:lineRule="auto"/>
      </w:pPr>
      <w:r>
        <w:separator/>
      </w:r>
    </w:p>
  </w:endnote>
  <w:endnote w:type="continuationSeparator" w:id="1">
    <w:p w:rsidR="000C3B77" w:rsidRDefault="000C3B77" w:rsidP="00A9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5783"/>
      <w:docPartObj>
        <w:docPartGallery w:val="Page Numbers (Bottom of Page)"/>
        <w:docPartUnique/>
      </w:docPartObj>
    </w:sdtPr>
    <w:sdtContent>
      <w:p w:rsidR="00A96387" w:rsidRDefault="00CE24CF">
        <w:pPr>
          <w:pStyle w:val="ab"/>
          <w:jc w:val="center"/>
        </w:pPr>
        <w:fldSimple w:instr=" PAGE   \* MERGEFORMAT ">
          <w:r w:rsidR="005C4238">
            <w:rPr>
              <w:noProof/>
            </w:rPr>
            <w:t>2</w:t>
          </w:r>
        </w:fldSimple>
      </w:p>
    </w:sdtContent>
  </w:sdt>
  <w:p w:rsidR="00A96387" w:rsidRDefault="00A963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77" w:rsidRDefault="000C3B77" w:rsidP="00A96387">
      <w:pPr>
        <w:spacing w:after="0" w:line="240" w:lineRule="auto"/>
      </w:pPr>
      <w:r>
        <w:separator/>
      </w:r>
    </w:p>
  </w:footnote>
  <w:footnote w:type="continuationSeparator" w:id="1">
    <w:p w:rsidR="000C3B77" w:rsidRDefault="000C3B77" w:rsidP="00A9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69F"/>
    <w:multiLevelType w:val="hybridMultilevel"/>
    <w:tmpl w:val="C5A86C6E"/>
    <w:lvl w:ilvl="0" w:tplc="0EEC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187"/>
    <w:multiLevelType w:val="hybridMultilevel"/>
    <w:tmpl w:val="A8E62950"/>
    <w:lvl w:ilvl="0" w:tplc="B0E24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23F26"/>
    <w:multiLevelType w:val="hybridMultilevel"/>
    <w:tmpl w:val="C07A997E"/>
    <w:lvl w:ilvl="0" w:tplc="0EEC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2A12"/>
    <w:multiLevelType w:val="hybridMultilevel"/>
    <w:tmpl w:val="EEC6C208"/>
    <w:lvl w:ilvl="0" w:tplc="66FC48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2448"/>
    <w:multiLevelType w:val="hybridMultilevel"/>
    <w:tmpl w:val="50F06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55"/>
    <w:rsid w:val="00056EF4"/>
    <w:rsid w:val="00057974"/>
    <w:rsid w:val="000652B4"/>
    <w:rsid w:val="00082392"/>
    <w:rsid w:val="000A2E17"/>
    <w:rsid w:val="000B2DEB"/>
    <w:rsid w:val="000B59FE"/>
    <w:rsid w:val="000C0908"/>
    <w:rsid w:val="000C3B77"/>
    <w:rsid w:val="00192C6F"/>
    <w:rsid w:val="001A4455"/>
    <w:rsid w:val="001B68FD"/>
    <w:rsid w:val="00285C27"/>
    <w:rsid w:val="00310C61"/>
    <w:rsid w:val="00314EFB"/>
    <w:rsid w:val="00380F6E"/>
    <w:rsid w:val="003A3F79"/>
    <w:rsid w:val="003A6977"/>
    <w:rsid w:val="003F2071"/>
    <w:rsid w:val="0042313B"/>
    <w:rsid w:val="004837DA"/>
    <w:rsid w:val="004E5ED4"/>
    <w:rsid w:val="004F6EB1"/>
    <w:rsid w:val="005064F0"/>
    <w:rsid w:val="005C4238"/>
    <w:rsid w:val="00617D1C"/>
    <w:rsid w:val="00632BC2"/>
    <w:rsid w:val="006559F7"/>
    <w:rsid w:val="00727D90"/>
    <w:rsid w:val="00785661"/>
    <w:rsid w:val="007A7BF7"/>
    <w:rsid w:val="007C7C17"/>
    <w:rsid w:val="007E5B42"/>
    <w:rsid w:val="00896214"/>
    <w:rsid w:val="008C0BCE"/>
    <w:rsid w:val="008C1AAE"/>
    <w:rsid w:val="009240F2"/>
    <w:rsid w:val="009E5850"/>
    <w:rsid w:val="00A3613F"/>
    <w:rsid w:val="00A70C49"/>
    <w:rsid w:val="00A90A31"/>
    <w:rsid w:val="00A96387"/>
    <w:rsid w:val="00B43968"/>
    <w:rsid w:val="00B75952"/>
    <w:rsid w:val="00C1276F"/>
    <w:rsid w:val="00CA290A"/>
    <w:rsid w:val="00CB7ABC"/>
    <w:rsid w:val="00CD69B4"/>
    <w:rsid w:val="00CE24CF"/>
    <w:rsid w:val="00D41673"/>
    <w:rsid w:val="00DE08FA"/>
    <w:rsid w:val="00E23126"/>
    <w:rsid w:val="00F12DD9"/>
    <w:rsid w:val="00F1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55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1B68FD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43968"/>
  </w:style>
  <w:style w:type="paragraph" w:styleId="a6">
    <w:name w:val="Normal (Web)"/>
    <w:basedOn w:val="a"/>
    <w:uiPriority w:val="99"/>
    <w:unhideWhenUsed/>
    <w:rsid w:val="00B4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9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387"/>
  </w:style>
  <w:style w:type="paragraph" w:styleId="ab">
    <w:name w:val="footer"/>
    <w:basedOn w:val="a"/>
    <w:link w:val="ac"/>
    <w:uiPriority w:val="99"/>
    <w:unhideWhenUsed/>
    <w:rsid w:val="00A9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eb.snauka.ru/issues/2013/03/2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elibrary.ru/contents.asp?titleid=279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author_items.asp?refid=241449789&amp;fam=%D0%A1%D0%B0%D1%80%D0%B3%D1%81%D1%8F%D0%BD&amp;init=%D0%90+%D0%9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rary.ru/author_items.asp?refid=241449789&amp;fam=%D0%93%D0%BE%D1%80%D1%88%D0%BA%D0%B0%D0%BB%D0%B5%D0%B2&amp;init=%D0%9F+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_items.asp?refid=241449789&amp;fam=%D0%A2%D0%B5%D0%BF%D0%BB%D1%8B%D1%85&amp;init=%D0%A1+%D0%A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Zaira</cp:lastModifiedBy>
  <cp:revision>6</cp:revision>
  <dcterms:created xsi:type="dcterms:W3CDTF">2017-06-24T04:16:00Z</dcterms:created>
  <dcterms:modified xsi:type="dcterms:W3CDTF">2018-04-07T12:34:00Z</dcterms:modified>
</cp:coreProperties>
</file>